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34" w:rsidRPr="00CA0B34" w:rsidRDefault="00CA0B34" w:rsidP="00CA0B34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  <w:t xml:space="preserve">                                           </w:t>
      </w:r>
      <w:r w:rsidRPr="00CA0B34"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  <w:t>Endettement d'</w:t>
      </w:r>
      <w:proofErr w:type="spellStart"/>
      <w:r w:rsidRPr="00CA0B34"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  <w:t>Auffay</w:t>
      </w:r>
      <w:proofErr w:type="spellEnd"/>
      <w:r w:rsidRPr="00CA0B34"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  <w:t xml:space="preserve"> en 2015</w:t>
      </w:r>
      <w:bookmarkStart w:id="0" w:name="_GoBack"/>
      <w:bookmarkEnd w:id="0"/>
    </w:p>
    <w:p w:rsidR="00CA0B34" w:rsidRDefault="00CA0B34" w:rsidP="00CA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</w:pPr>
    </w:p>
    <w:p w:rsidR="00CA0B34" w:rsidRDefault="00CA0B34" w:rsidP="00CA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</w:pPr>
    </w:p>
    <w:p w:rsidR="00CA0B34" w:rsidRDefault="00CA0B34" w:rsidP="00CA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</w:pPr>
    </w:p>
    <w:p w:rsidR="00CA0B34" w:rsidRPr="00CA0B34" w:rsidRDefault="00CA0B34" w:rsidP="00CA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</w:pPr>
      <w:r w:rsidRPr="00CA0B34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  <w:t>La capacité de désendettement d'</w:t>
      </w:r>
      <w:proofErr w:type="spellStart"/>
      <w:r w:rsidRPr="00CA0B34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  <w:t>Auffay</w:t>
      </w:r>
      <w:proofErr w:type="spellEnd"/>
      <w:r w:rsidRPr="00CA0B34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  <w:t xml:space="preserve"> évalue le rapport entre l'encours de la dette d'</w:t>
      </w:r>
      <w:proofErr w:type="spellStart"/>
      <w:r w:rsidRPr="00CA0B34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  <w:t>Auffay</w:t>
      </w:r>
      <w:proofErr w:type="spellEnd"/>
      <w:r w:rsidRPr="00CA0B34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  <w:lang w:eastAsia="fr-FR"/>
        </w:rPr>
        <w:t xml:space="preserve"> et son épargne (sa capacité d'autofinancement). Ce ratio permet de déterminer le nombre d'années que la commune mettra à rembourser la totalité de sa dette si elle y consacre tous les ans l'intégralité de son épargne.</w:t>
      </w:r>
    </w:p>
    <w:p w:rsidR="00CA0B34" w:rsidRPr="00CA0B34" w:rsidRDefault="00CA0B34" w:rsidP="00CA0B34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</w:pPr>
      <w:r w:rsidRPr="00CA0B34"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  <w:t>Endettement d'</w:t>
      </w:r>
      <w:proofErr w:type="spellStart"/>
      <w:r w:rsidRPr="00CA0B34"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  <w:t>Auffay</w:t>
      </w:r>
      <w:proofErr w:type="spellEnd"/>
      <w:r w:rsidRPr="00CA0B34">
        <w:rPr>
          <w:rFonts w:ascii="Times New Roman" w:eastAsia="Times New Roman" w:hAnsi="Times New Roman" w:cs="Times New Roman"/>
          <w:b/>
          <w:bCs/>
          <w:color w:val="303030"/>
          <w:spacing w:val="-6"/>
          <w:sz w:val="27"/>
          <w:szCs w:val="27"/>
          <w:lang w:eastAsia="fr-FR"/>
        </w:rPr>
        <w:t xml:space="preserve"> en 2015</w:t>
      </w:r>
    </w:p>
    <w:tbl>
      <w:tblPr>
        <w:tblW w:w="930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1863"/>
        <w:gridCol w:w="1863"/>
        <w:gridCol w:w="1848"/>
      </w:tblGrid>
      <w:tr w:rsidR="00CA0B34" w:rsidRPr="00CA0B34" w:rsidTr="00CA0B34">
        <w:trPr>
          <w:tblHeader/>
        </w:trPr>
        <w:tc>
          <w:tcPr>
            <w:tcW w:w="37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pacing w:val="-6"/>
                <w:sz w:val="27"/>
                <w:szCs w:val="27"/>
                <w:lang w:eastAsia="fr-FR"/>
              </w:rPr>
            </w:pPr>
          </w:p>
        </w:tc>
        <w:tc>
          <w:tcPr>
            <w:tcW w:w="18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8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 par habitant</w:t>
            </w:r>
          </w:p>
        </w:tc>
        <w:tc>
          <w:tcPr>
            <w:tcW w:w="18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Moyenne nationale par habitant</w:t>
            </w:r>
          </w:p>
        </w:tc>
      </w:tr>
      <w:tr w:rsidR="00CA0B34" w:rsidRPr="00CA0B34" w:rsidTr="00CA0B3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Encours de la dette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1 516 000 €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790 €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959 €</w:t>
            </w:r>
          </w:p>
        </w:tc>
      </w:tr>
      <w:tr w:rsidR="00CA0B34" w:rsidRPr="00CA0B34" w:rsidTr="00CA0B34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Annuité de la dette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757 000 €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394 €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123 €</w:t>
            </w:r>
          </w:p>
        </w:tc>
      </w:tr>
      <w:tr w:rsidR="00CA0B34" w:rsidRPr="00CA0B34" w:rsidTr="00CA0B3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Avance du Trésor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</w:t>
            </w:r>
            <w:proofErr w:type="spellEnd"/>
          </w:p>
        </w:tc>
      </w:tr>
      <w:tr w:rsidR="00CA0B34" w:rsidRPr="00CA0B34" w:rsidTr="00CA0B34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de désendettement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8,1 an(s)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242A4" w:rsidRDefault="005242A4"/>
    <w:tbl>
      <w:tblPr>
        <w:tblW w:w="930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2329"/>
        <w:gridCol w:w="2314"/>
      </w:tblGrid>
      <w:tr w:rsidR="00CA0B34" w:rsidRPr="00CA0B34" w:rsidTr="00CA0B34">
        <w:trPr>
          <w:tblHeader/>
        </w:trPr>
        <w:tc>
          <w:tcPr>
            <w:tcW w:w="46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6"/>
                <w:sz w:val="24"/>
                <w:szCs w:val="24"/>
                <w:lang w:eastAsia="fr-FR"/>
              </w:rPr>
              <w:t>Impôt sur le revenu 2015</w:t>
            </w:r>
          </w:p>
        </w:tc>
        <w:tc>
          <w:tcPr>
            <w:tcW w:w="23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6"/>
                <w:sz w:val="24"/>
                <w:szCs w:val="24"/>
                <w:lang w:eastAsia="fr-FR"/>
              </w:rPr>
            </w:pPr>
            <w:proofErr w:type="spellStart"/>
            <w:r w:rsidRPr="00CA0B34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6"/>
                <w:sz w:val="24"/>
                <w:szCs w:val="24"/>
                <w:lang w:eastAsia="fr-FR"/>
              </w:rPr>
              <w:t>Auffay</w:t>
            </w:r>
            <w:proofErr w:type="spellEnd"/>
          </w:p>
        </w:tc>
        <w:tc>
          <w:tcPr>
            <w:tcW w:w="23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6"/>
                <w:sz w:val="24"/>
                <w:szCs w:val="24"/>
                <w:lang w:eastAsia="fr-FR"/>
              </w:rPr>
              <w:t>Moyenne des villes</w:t>
            </w:r>
          </w:p>
        </w:tc>
      </w:tr>
      <w:tr w:rsidR="00CA0B34" w:rsidRPr="00CA0B34" w:rsidTr="00CA0B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  <w:t>Impôt sur le revenu net moyen par foyer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  <w:t>2 148 €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  <w:t>1 283 €</w:t>
            </w:r>
          </w:p>
        </w:tc>
      </w:tr>
      <w:tr w:rsidR="00CA0B34" w:rsidRPr="00CA0B34" w:rsidTr="00CA0B34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  <w:t>Revenu fiscal de référence moyen par foyer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  <w:t>20 794 €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34" w:rsidRPr="00CA0B34" w:rsidRDefault="00CA0B34" w:rsidP="00CA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</w:pPr>
            <w:r w:rsidRPr="00CA0B34">
              <w:rPr>
                <w:rFonts w:ascii="Times New Roman" w:eastAsia="Times New Roman" w:hAnsi="Times New Roman" w:cs="Times New Roman"/>
                <w:color w:val="303030"/>
                <w:spacing w:val="-6"/>
                <w:sz w:val="24"/>
                <w:szCs w:val="24"/>
                <w:lang w:eastAsia="fr-FR"/>
              </w:rPr>
              <w:t>24 761 €</w:t>
            </w:r>
          </w:p>
        </w:tc>
      </w:tr>
    </w:tbl>
    <w:p w:rsidR="00CA0B34" w:rsidRDefault="00CA0B34"/>
    <w:sectPr w:rsidR="00CA0B34" w:rsidSect="002123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34"/>
    <w:rsid w:val="002123EE"/>
    <w:rsid w:val="00316541"/>
    <w:rsid w:val="005242A4"/>
    <w:rsid w:val="00C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D1EE-DAC6-4E55-A612-EE4320D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721680 CP LE HAVRE</dc:creator>
  <cp:keywords/>
  <dc:description/>
  <cp:lastModifiedBy>721680 CP LE HAVRE</cp:lastModifiedBy>
  <cp:revision>1</cp:revision>
  <dcterms:created xsi:type="dcterms:W3CDTF">2018-02-16T10:32:00Z</dcterms:created>
  <dcterms:modified xsi:type="dcterms:W3CDTF">2018-02-16T10:46:00Z</dcterms:modified>
</cp:coreProperties>
</file>